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1B4A" w14:textId="77777777" w:rsidR="005F2CCE" w:rsidRDefault="00E83972">
      <w:pPr>
        <w:pStyle w:val="Balk1"/>
        <w:spacing w:before="72"/>
        <w:ind w:right="110"/>
        <w:jc w:val="right"/>
      </w:pPr>
      <w:r>
        <w:t>Ek-12</w:t>
      </w:r>
    </w:p>
    <w:p w14:paraId="02611B4B" w14:textId="77777777" w:rsidR="005F2CCE" w:rsidRDefault="005F2CCE">
      <w:pPr>
        <w:pStyle w:val="GvdeMetni"/>
        <w:spacing w:before="1"/>
        <w:rPr>
          <w:b/>
          <w:sz w:val="31"/>
        </w:rPr>
      </w:pPr>
    </w:p>
    <w:p w14:paraId="02611B4C" w14:textId="77777777" w:rsidR="005F2CCE" w:rsidRDefault="00E83972">
      <w:pPr>
        <w:spacing w:before="1" w:line="276" w:lineRule="auto"/>
        <w:ind w:left="176" w:right="176"/>
        <w:jc w:val="center"/>
        <w:rPr>
          <w:b/>
          <w:sz w:val="24"/>
        </w:rPr>
      </w:pPr>
      <w:r>
        <w:rPr>
          <w:b/>
          <w:sz w:val="24"/>
        </w:rPr>
        <w:t xml:space="preserve">6306 </w:t>
      </w:r>
      <w:proofErr w:type="spellStart"/>
      <w:r>
        <w:rPr>
          <w:b/>
          <w:sz w:val="24"/>
        </w:rPr>
        <w:t>Sayılı</w:t>
      </w:r>
      <w:proofErr w:type="spellEnd"/>
      <w:r>
        <w:rPr>
          <w:b/>
          <w:sz w:val="24"/>
        </w:rPr>
        <w:t xml:space="preserve"> Kanun Kapsamındaki </w:t>
      </w:r>
      <w:proofErr w:type="spellStart"/>
      <w:r>
        <w:rPr>
          <w:b/>
          <w:sz w:val="24"/>
        </w:rPr>
        <w:t>Riskli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Yapıların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Yerine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Yapılacak</w:t>
      </w:r>
      <w:proofErr w:type="spellEnd"/>
      <w:r>
        <w:rPr>
          <w:b/>
          <w:sz w:val="24"/>
        </w:rPr>
        <w:t xml:space="preserve"> Yeni </w:t>
      </w:r>
      <w:proofErr w:type="spellStart"/>
      <w:r>
        <w:rPr>
          <w:b/>
          <w:sz w:val="24"/>
        </w:rPr>
        <w:t>Uygulamalara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İlişkin</w:t>
      </w:r>
      <w:proofErr w:type="spellEnd"/>
      <w:r>
        <w:rPr>
          <w:b/>
          <w:sz w:val="24"/>
        </w:rPr>
        <w:t xml:space="preserve"> Karar </w:t>
      </w:r>
      <w:proofErr w:type="spellStart"/>
      <w:r>
        <w:rPr>
          <w:b/>
          <w:sz w:val="24"/>
        </w:rPr>
        <w:t>Alınmak</w:t>
      </w:r>
      <w:proofErr w:type="spellEnd"/>
      <w:r>
        <w:rPr>
          <w:b/>
          <w:sz w:val="24"/>
        </w:rPr>
        <w:t xml:space="preserve"> Üzere </w:t>
      </w:r>
      <w:proofErr w:type="spellStart"/>
      <w:r>
        <w:rPr>
          <w:b/>
          <w:sz w:val="24"/>
        </w:rPr>
        <w:t>Düzenlenecek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Toplantının</w:t>
      </w:r>
      <w:proofErr w:type="spellEnd"/>
      <w:r>
        <w:rPr>
          <w:b/>
          <w:sz w:val="24"/>
        </w:rPr>
        <w:t xml:space="preserve"> Yerinin, </w:t>
      </w:r>
      <w:proofErr w:type="spellStart"/>
      <w:r>
        <w:rPr>
          <w:b/>
          <w:sz w:val="24"/>
        </w:rPr>
        <w:t>Tarihinin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Saatinin</w:t>
      </w:r>
      <w:proofErr w:type="spellEnd"/>
    </w:p>
    <w:p w14:paraId="02611B4D" w14:textId="77777777" w:rsidR="005F2CCE" w:rsidRDefault="00E83972">
      <w:pPr>
        <w:pStyle w:val="Balk1"/>
        <w:ind w:left="175"/>
      </w:pPr>
      <w:proofErr w:type="spellStart"/>
      <w:r>
        <w:t>Tüm</w:t>
      </w:r>
      <w:proofErr w:type="spellEnd"/>
      <w:r>
        <w:t xml:space="preserve"> </w:t>
      </w:r>
      <w:proofErr w:type="spellStart"/>
      <w:r>
        <w:t>Paydaşlara</w:t>
      </w:r>
      <w:proofErr w:type="spellEnd"/>
      <w:r>
        <w:t xml:space="preserve"> </w:t>
      </w:r>
      <w:proofErr w:type="spellStart"/>
      <w:r>
        <w:t>Bildirilmesi</w:t>
      </w:r>
      <w:proofErr w:type="spellEnd"/>
      <w:r>
        <w:t xml:space="preserve"> </w:t>
      </w:r>
      <w:proofErr w:type="spellStart"/>
      <w:r>
        <w:t>İçin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Form</w:t>
      </w:r>
    </w:p>
    <w:p w14:paraId="02611B4E" w14:textId="77777777" w:rsidR="005F2CCE" w:rsidRDefault="005F2CCE">
      <w:pPr>
        <w:pStyle w:val="GvdeMetni"/>
        <w:rPr>
          <w:b/>
          <w:sz w:val="26"/>
        </w:rPr>
      </w:pPr>
    </w:p>
    <w:p w14:paraId="02611B4F" w14:textId="77777777" w:rsidR="005F2CCE" w:rsidRDefault="005F2CCE">
      <w:pPr>
        <w:pStyle w:val="GvdeMetni"/>
        <w:rPr>
          <w:b/>
          <w:sz w:val="26"/>
        </w:rPr>
      </w:pPr>
    </w:p>
    <w:p w14:paraId="02611B50" w14:textId="77777777" w:rsidR="005F2CCE" w:rsidRDefault="005F2CCE">
      <w:pPr>
        <w:pStyle w:val="GvdeMetni"/>
        <w:spacing w:before="2"/>
        <w:rPr>
          <w:b/>
          <w:sz w:val="34"/>
        </w:rPr>
      </w:pPr>
    </w:p>
    <w:p w14:paraId="02611B51" w14:textId="18CB72EB" w:rsidR="005F2CCE" w:rsidRDefault="00672F58">
      <w:pPr>
        <w:pStyle w:val="GvdeMetni"/>
        <w:ind w:left="111"/>
      </w:pPr>
      <w:r>
        <w:t>İstanbul</w:t>
      </w:r>
      <w:r>
        <w:rPr>
          <w:spacing w:val="25"/>
        </w:rPr>
        <w:t xml:space="preserve"> </w:t>
      </w:r>
      <w:proofErr w:type="spellStart"/>
      <w:r>
        <w:t>ili</w:t>
      </w:r>
      <w:proofErr w:type="spellEnd"/>
      <w:r>
        <w:t>,</w:t>
      </w:r>
      <w:r>
        <w:rPr>
          <w:spacing w:val="27"/>
        </w:rPr>
        <w:t xml:space="preserve"> </w:t>
      </w:r>
      <w:r w:rsidR="009E3EED">
        <w:t>…</w:t>
      </w:r>
      <w:proofErr w:type="gramStart"/>
      <w:r w:rsidR="009E3EED">
        <w:t>…..</w:t>
      </w:r>
      <w:proofErr w:type="gramEnd"/>
      <w:r>
        <w:rPr>
          <w:spacing w:val="23"/>
        </w:rPr>
        <w:t xml:space="preserve"> </w:t>
      </w:r>
      <w:proofErr w:type="spellStart"/>
      <w:r>
        <w:t>ilçesi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tapuda</w:t>
      </w:r>
      <w:proofErr w:type="spellEnd"/>
      <w:r>
        <w:rPr>
          <w:spacing w:val="26"/>
        </w:rPr>
        <w:t xml:space="preserve"> </w:t>
      </w:r>
      <w:r w:rsidR="009E3EED">
        <w:t>…</w:t>
      </w:r>
      <w:proofErr w:type="gramStart"/>
      <w:r w:rsidR="009E3EED">
        <w:t>…..</w:t>
      </w:r>
      <w:proofErr w:type="gramEnd"/>
      <w:r>
        <w:rPr>
          <w:spacing w:val="23"/>
        </w:rPr>
        <w:t xml:space="preserve"> </w:t>
      </w:r>
      <w:r>
        <w:t>Mahallesi,</w:t>
      </w:r>
      <w:r>
        <w:rPr>
          <w:spacing w:val="25"/>
        </w:rPr>
        <w:t xml:space="preserve"> </w:t>
      </w:r>
      <w:r w:rsidR="009E3EED">
        <w:t>………</w:t>
      </w:r>
      <w:r>
        <w:rPr>
          <w:spacing w:val="25"/>
        </w:rPr>
        <w:t xml:space="preserve"> </w:t>
      </w:r>
      <w:proofErr w:type="spellStart"/>
      <w:r>
        <w:t>ada</w:t>
      </w:r>
      <w:proofErr w:type="spellEnd"/>
      <w:r>
        <w:rPr>
          <w:spacing w:val="26"/>
        </w:rPr>
        <w:t xml:space="preserve"> </w:t>
      </w:r>
      <w:proofErr w:type="spellStart"/>
      <w:r>
        <w:t>ve</w:t>
      </w:r>
      <w:proofErr w:type="spellEnd"/>
      <w:r>
        <w:rPr>
          <w:spacing w:val="23"/>
        </w:rPr>
        <w:t xml:space="preserve"> </w:t>
      </w:r>
      <w:r w:rsidR="009E3EED">
        <w:rPr>
          <w:spacing w:val="23"/>
        </w:rPr>
        <w:t>………</w:t>
      </w:r>
      <w:r>
        <w:rPr>
          <w:spacing w:val="25"/>
        </w:rPr>
        <w:t xml:space="preserve"> </w:t>
      </w:r>
      <w:proofErr w:type="spellStart"/>
      <w:r>
        <w:t>parselde</w:t>
      </w:r>
      <w:proofErr w:type="spellEnd"/>
      <w:r>
        <w:rPr>
          <w:spacing w:val="24"/>
        </w:rPr>
        <w:t xml:space="preserve"> </w:t>
      </w:r>
      <w:proofErr w:type="spellStart"/>
      <w:r>
        <w:t>kayıtlı</w:t>
      </w:r>
      <w:proofErr w:type="spellEnd"/>
      <w:r>
        <w:rPr>
          <w:spacing w:val="26"/>
        </w:rPr>
        <w:t xml:space="preserve"> </w:t>
      </w:r>
      <w:proofErr w:type="spellStart"/>
      <w:r>
        <w:t>ve</w:t>
      </w:r>
      <w:proofErr w:type="spellEnd"/>
    </w:p>
    <w:p w14:paraId="02611B53" w14:textId="5ED54BCC" w:rsidR="005F2CCE" w:rsidRDefault="00257B89" w:rsidP="008E5D42">
      <w:pPr>
        <w:pStyle w:val="GvdeMetni"/>
        <w:tabs>
          <w:tab w:val="left" w:pos="1512"/>
          <w:tab w:val="left" w:pos="1974"/>
          <w:tab w:val="left" w:pos="3193"/>
          <w:tab w:val="left" w:pos="3961"/>
          <w:tab w:val="left" w:pos="5361"/>
          <w:tab w:val="left" w:leader="dot" w:pos="9106"/>
        </w:tabs>
        <w:spacing w:before="43"/>
        <w:ind w:left="111"/>
      </w:pPr>
      <w:r>
        <w:t>İstanbul</w:t>
      </w:r>
      <w:r>
        <w:tab/>
      </w:r>
      <w:proofErr w:type="spellStart"/>
      <w:r>
        <w:t>ili</w:t>
      </w:r>
      <w:proofErr w:type="spellEnd"/>
      <w:r>
        <w:t>,</w:t>
      </w:r>
      <w:r>
        <w:tab/>
      </w:r>
      <w:r w:rsidR="009E3EED">
        <w:t>…………</w:t>
      </w:r>
      <w:r>
        <w:tab/>
      </w:r>
      <w:proofErr w:type="spellStart"/>
      <w:r>
        <w:t>ilçesi</w:t>
      </w:r>
      <w:proofErr w:type="spellEnd"/>
      <w:r>
        <w:t>,</w:t>
      </w:r>
      <w:r>
        <w:tab/>
      </w:r>
      <w:r w:rsidR="009E3EED">
        <w:t>………</w:t>
      </w:r>
      <w:proofErr w:type="gramStart"/>
      <w:r w:rsidR="009E3EED">
        <w:t>…..</w:t>
      </w:r>
      <w:proofErr w:type="gramEnd"/>
      <w:r>
        <w:tab/>
      </w:r>
      <w:proofErr w:type="spellStart"/>
      <w:r>
        <w:t>Mahallesi</w:t>
      </w:r>
      <w:proofErr w:type="spellEnd"/>
      <w:r>
        <w:t xml:space="preserve"> </w:t>
      </w:r>
      <w:r w:rsidR="009E3EED">
        <w:t>……….</w:t>
      </w:r>
      <w:r w:rsidR="008E5D42">
        <w:t xml:space="preserve"> (Sokak) </w:t>
      </w:r>
      <w:r>
        <w:t xml:space="preserve">No:  </w:t>
      </w:r>
      <w:proofErr w:type="spellStart"/>
      <w:r>
        <w:t>adresinde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yapı</w:t>
      </w:r>
      <w:proofErr w:type="spellEnd"/>
      <w:r>
        <w:t xml:space="preserve">, 6306 </w:t>
      </w:r>
      <w:proofErr w:type="spellStart"/>
      <w:r>
        <w:t>sayılı</w:t>
      </w:r>
      <w:proofErr w:type="spellEnd"/>
      <w:r>
        <w:t xml:space="preserve"> Afet Riski </w:t>
      </w:r>
      <w:proofErr w:type="spellStart"/>
      <w:r>
        <w:t>Altındaki</w:t>
      </w:r>
      <w:proofErr w:type="spellEnd"/>
      <w:r>
        <w:t xml:space="preserve"> </w:t>
      </w:r>
      <w:proofErr w:type="spellStart"/>
      <w:r>
        <w:t>Alanların</w:t>
      </w:r>
      <w:proofErr w:type="spellEnd"/>
      <w:r>
        <w:t xml:space="preserve"> </w:t>
      </w:r>
      <w:proofErr w:type="spellStart"/>
      <w:r>
        <w:t>Dönüştürülmesi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Kanun </w:t>
      </w:r>
      <w:proofErr w:type="spellStart"/>
      <w:r>
        <w:t>kapsamında</w:t>
      </w:r>
      <w:proofErr w:type="spellEnd"/>
      <w:r>
        <w:t xml:space="preserve"> “</w:t>
      </w:r>
      <w:proofErr w:type="spellStart"/>
      <w:r>
        <w:t>Riskli</w:t>
      </w:r>
      <w:proofErr w:type="spellEnd"/>
      <w:r>
        <w:t xml:space="preserve"> </w:t>
      </w:r>
      <w:proofErr w:type="spellStart"/>
      <w:r>
        <w:t>Yapı</w:t>
      </w:r>
      <w:proofErr w:type="spellEnd"/>
      <w:r>
        <w:t xml:space="preserve">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>.</w:t>
      </w:r>
    </w:p>
    <w:p w14:paraId="02611B54" w14:textId="77777777" w:rsidR="005F2CCE" w:rsidRDefault="005F2CCE">
      <w:pPr>
        <w:pStyle w:val="GvdeMetni"/>
        <w:spacing w:before="8"/>
        <w:rPr>
          <w:sz w:val="27"/>
        </w:rPr>
      </w:pPr>
    </w:p>
    <w:p w14:paraId="02611B55" w14:textId="519FC7B9" w:rsidR="005F2CCE" w:rsidRDefault="00E83972">
      <w:pPr>
        <w:pStyle w:val="GvdeMetni"/>
        <w:tabs>
          <w:tab w:val="left" w:pos="954"/>
          <w:tab w:val="left" w:pos="1914"/>
          <w:tab w:val="left" w:pos="3161"/>
          <w:tab w:val="left" w:pos="4151"/>
          <w:tab w:val="left" w:pos="7456"/>
          <w:tab w:val="left" w:leader="dot" w:pos="9749"/>
        </w:tabs>
        <w:spacing w:line="276" w:lineRule="auto"/>
        <w:ind w:left="111" w:right="107"/>
      </w:pPr>
      <w:r>
        <w:t xml:space="preserve">6306 </w:t>
      </w:r>
      <w:proofErr w:type="spellStart"/>
      <w:r>
        <w:t>sayılı</w:t>
      </w:r>
      <w:proofErr w:type="spellEnd"/>
      <w:r>
        <w:t xml:space="preserve"> Kanun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riskli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yapının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yeni </w:t>
      </w:r>
      <w:proofErr w:type="spellStart"/>
      <w:r>
        <w:t>uygulamalara</w:t>
      </w:r>
      <w:proofErr w:type="spellEnd"/>
      <w:r>
        <w:t xml:space="preserve"> </w:t>
      </w:r>
      <w:proofErr w:type="spellStart"/>
      <w:r>
        <w:t>dair</w:t>
      </w:r>
      <w:proofErr w:type="spellEnd"/>
      <w:r>
        <w:tab/>
      </w:r>
      <w:proofErr w:type="spellStart"/>
      <w:r>
        <w:t>karar</w:t>
      </w:r>
      <w:proofErr w:type="spellEnd"/>
      <w:r>
        <w:tab/>
      </w:r>
      <w:proofErr w:type="spellStart"/>
      <w:r>
        <w:t>alınmak</w:t>
      </w:r>
      <w:proofErr w:type="spellEnd"/>
      <w:r>
        <w:tab/>
      </w:r>
      <w:proofErr w:type="spellStart"/>
      <w:r>
        <w:t>üzere</w:t>
      </w:r>
      <w:proofErr w:type="spellEnd"/>
      <w:r>
        <w:tab/>
      </w:r>
      <w:r w:rsidR="009E3EED">
        <w:t>……</w:t>
      </w:r>
      <w:proofErr w:type="gramStart"/>
      <w:r w:rsidR="009E3EED">
        <w:t>…..</w:t>
      </w:r>
      <w:proofErr w:type="spellStart"/>
      <w:proofErr w:type="gramEnd"/>
      <w:r>
        <w:t>tarihinde</w:t>
      </w:r>
      <w:proofErr w:type="spellEnd"/>
      <w:r>
        <w:t>,</w:t>
      </w:r>
      <w:r w:rsidR="009E3EED">
        <w:t xml:space="preserve"> </w:t>
      </w:r>
      <w:proofErr w:type="spellStart"/>
      <w:r>
        <w:t>sa</w:t>
      </w:r>
      <w:r w:rsidR="0090327F">
        <w:t>at</w:t>
      </w:r>
      <w:proofErr w:type="spellEnd"/>
      <w:r w:rsidR="0090327F">
        <w:t xml:space="preserve"> 10:00 </w:t>
      </w:r>
      <w:r>
        <w:rPr>
          <w:spacing w:val="-6"/>
        </w:rPr>
        <w:t>da,</w:t>
      </w:r>
    </w:p>
    <w:p w14:paraId="02611B57" w14:textId="0DFBA21B" w:rsidR="005F2CCE" w:rsidRDefault="009E3EED">
      <w:pPr>
        <w:pStyle w:val="GvdeMetni"/>
        <w:spacing w:before="41"/>
        <w:ind w:left="111"/>
      </w:pPr>
      <w:r>
        <w:t>……………………..</w:t>
      </w:r>
      <w:r w:rsidR="007E2659">
        <w:t xml:space="preserve"> </w:t>
      </w:r>
      <w:r w:rsidR="007E2659">
        <w:rPr>
          <w:spacing w:val="-11"/>
        </w:rPr>
        <w:t xml:space="preserve"> </w:t>
      </w:r>
      <w:proofErr w:type="spellStart"/>
      <w:r w:rsidR="007E2659">
        <w:t>adresinde</w:t>
      </w:r>
      <w:proofErr w:type="spellEnd"/>
      <w:r w:rsidR="007E2659">
        <w:rPr>
          <w:spacing w:val="-14"/>
        </w:rPr>
        <w:t xml:space="preserve"> </w:t>
      </w:r>
      <w:proofErr w:type="spellStart"/>
      <w:r w:rsidR="007E2659">
        <w:t>yapılacak</w:t>
      </w:r>
      <w:proofErr w:type="spellEnd"/>
      <w:r w:rsidR="007E2659">
        <w:rPr>
          <w:spacing w:val="-14"/>
        </w:rPr>
        <w:t xml:space="preserve"> </w:t>
      </w:r>
      <w:proofErr w:type="spellStart"/>
      <w:r w:rsidR="007E2659">
        <w:t>toplantıya</w:t>
      </w:r>
      <w:proofErr w:type="spellEnd"/>
      <w:r w:rsidR="007E2659">
        <w:rPr>
          <w:spacing w:val="-14"/>
        </w:rPr>
        <w:t xml:space="preserve"> </w:t>
      </w:r>
      <w:proofErr w:type="spellStart"/>
      <w:r w:rsidR="007E2659">
        <w:t>tüm</w:t>
      </w:r>
      <w:proofErr w:type="spellEnd"/>
      <w:r w:rsidR="007E2659">
        <w:rPr>
          <w:spacing w:val="-11"/>
        </w:rPr>
        <w:t xml:space="preserve"> </w:t>
      </w:r>
      <w:proofErr w:type="spellStart"/>
      <w:r w:rsidR="007E2659">
        <w:t>paydaşlar</w:t>
      </w:r>
      <w:proofErr w:type="spellEnd"/>
      <w:r w:rsidR="007E2659">
        <w:rPr>
          <w:spacing w:val="-10"/>
        </w:rPr>
        <w:t xml:space="preserve"> </w:t>
      </w:r>
      <w:proofErr w:type="spellStart"/>
      <w:r w:rsidR="007E2659">
        <w:t>davetlidir</w:t>
      </w:r>
      <w:proofErr w:type="spellEnd"/>
      <w:r w:rsidR="007E2659">
        <w:t>.</w:t>
      </w:r>
    </w:p>
    <w:p w14:paraId="02611B58" w14:textId="77777777" w:rsidR="005F2CCE" w:rsidRDefault="005F2CCE">
      <w:pPr>
        <w:pStyle w:val="GvdeMetni"/>
        <w:spacing w:before="3"/>
        <w:rPr>
          <w:sz w:val="31"/>
        </w:rPr>
      </w:pPr>
    </w:p>
    <w:p w14:paraId="02611B59" w14:textId="77777777" w:rsidR="005F2CCE" w:rsidRDefault="00E83972">
      <w:pPr>
        <w:pStyle w:val="GvdeMetni"/>
        <w:ind w:left="111" w:right="250"/>
        <w:jc w:val="both"/>
      </w:pPr>
      <w:proofErr w:type="spellStart"/>
      <w:r>
        <w:t>İşbu</w:t>
      </w:r>
      <w:proofErr w:type="spellEnd"/>
      <w:r>
        <w:t xml:space="preserve"> form 6306 </w:t>
      </w:r>
      <w:proofErr w:type="spellStart"/>
      <w:r>
        <w:t>sayılı</w:t>
      </w:r>
      <w:proofErr w:type="spellEnd"/>
      <w:r>
        <w:t xml:space="preserve"> Kanun </w:t>
      </w:r>
      <w:proofErr w:type="spellStart"/>
      <w:r>
        <w:t>kapsamındaki</w:t>
      </w:r>
      <w:proofErr w:type="spellEnd"/>
      <w:r>
        <w:t xml:space="preserve"> </w:t>
      </w:r>
      <w:proofErr w:type="spellStart"/>
      <w:r>
        <w:t>riskli</w:t>
      </w:r>
      <w:proofErr w:type="spellEnd"/>
      <w:r>
        <w:t xml:space="preserve"> </w:t>
      </w:r>
      <w:proofErr w:type="spellStart"/>
      <w:r>
        <w:t>yapıların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yeni </w:t>
      </w:r>
      <w:proofErr w:type="spellStart"/>
      <w:r>
        <w:t>uygulamalara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alınmak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toplantının</w:t>
      </w:r>
      <w:proofErr w:type="spellEnd"/>
      <w:r>
        <w:t xml:space="preserve"> </w:t>
      </w:r>
      <w:proofErr w:type="spellStart"/>
      <w:r>
        <w:t>yerinin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zamanının</w:t>
      </w:r>
      <w:proofErr w:type="spellEnd"/>
      <w:r>
        <w:t xml:space="preserve">;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muhtarlıkta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riskli</w:t>
      </w:r>
      <w:proofErr w:type="spellEnd"/>
      <w:r>
        <w:t xml:space="preserve"> </w:t>
      </w:r>
      <w:proofErr w:type="spellStart"/>
      <w:r>
        <w:t>yapıların</w:t>
      </w:r>
      <w:proofErr w:type="spellEnd"/>
      <w:r>
        <w:t xml:space="preserve"> </w:t>
      </w:r>
      <w:proofErr w:type="spellStart"/>
      <w:r>
        <w:t>henüz</w:t>
      </w:r>
      <w:proofErr w:type="spellEnd"/>
      <w:r>
        <w:t xml:space="preserve"> </w:t>
      </w:r>
      <w:proofErr w:type="spellStart"/>
      <w:r>
        <w:t>yıkılmadığı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bina</w:t>
      </w:r>
      <w:proofErr w:type="spellEnd"/>
      <w:r>
        <w:t xml:space="preserve"> </w:t>
      </w:r>
      <w:proofErr w:type="spellStart"/>
      <w:r>
        <w:t>kapısında</w:t>
      </w:r>
      <w:proofErr w:type="spellEnd"/>
      <w:r>
        <w:t>/</w:t>
      </w:r>
      <w:proofErr w:type="spellStart"/>
      <w:r>
        <w:t>duyuru</w:t>
      </w:r>
      <w:proofErr w:type="spellEnd"/>
      <w:r>
        <w:t xml:space="preserve"> </w:t>
      </w:r>
      <w:proofErr w:type="spellStart"/>
      <w:r>
        <w:t>panosunda</w:t>
      </w:r>
      <w:proofErr w:type="spellEnd"/>
      <w:r>
        <w:t xml:space="preserve"> on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suretiyle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noter </w:t>
      </w:r>
      <w:proofErr w:type="spellStart"/>
      <w:r>
        <w:t>vasıtasıyla</w:t>
      </w:r>
      <w:proofErr w:type="spellEnd"/>
      <w:r>
        <w:t xml:space="preserve"> </w:t>
      </w:r>
      <w:proofErr w:type="spellStart"/>
      <w:r>
        <w:t>maliklere</w:t>
      </w:r>
      <w:proofErr w:type="spellEnd"/>
      <w:r>
        <w:t xml:space="preserve"> </w:t>
      </w:r>
      <w:proofErr w:type="spellStart"/>
      <w:r>
        <w:t>bildirilmesi</w:t>
      </w:r>
      <w:proofErr w:type="spellEnd"/>
      <w:r>
        <w:t xml:space="preserve"> </w:t>
      </w:r>
      <w:proofErr w:type="spellStart"/>
      <w:r>
        <w:t>maksadıyla</w:t>
      </w:r>
      <w:proofErr w:type="spellEnd"/>
      <w:r>
        <w:t xml:space="preserve"> </w:t>
      </w:r>
      <w:proofErr w:type="spellStart"/>
      <w:r>
        <w:t>düzenlenmiştir</w:t>
      </w:r>
      <w:proofErr w:type="spellEnd"/>
      <w:r>
        <w:t xml:space="preserve">. İlan </w:t>
      </w:r>
      <w:proofErr w:type="spellStart"/>
      <w:r>
        <w:t>suretiyle</w:t>
      </w:r>
      <w:proofErr w:type="spellEnd"/>
      <w:r>
        <w:rPr>
          <w:spacing w:val="-18"/>
        </w:rPr>
        <w:t xml:space="preserve"> </w:t>
      </w:r>
      <w:proofErr w:type="spellStart"/>
      <w:r>
        <w:t>yapılan</w:t>
      </w:r>
      <w:proofErr w:type="spellEnd"/>
      <w:r>
        <w:rPr>
          <w:spacing w:val="-16"/>
        </w:rPr>
        <w:t xml:space="preserve"> </w:t>
      </w:r>
      <w:proofErr w:type="spellStart"/>
      <w:r>
        <w:t>bildirimlerde</w:t>
      </w:r>
      <w:proofErr w:type="spellEnd"/>
      <w:r>
        <w:rPr>
          <w:spacing w:val="-15"/>
        </w:rPr>
        <w:t xml:space="preserve"> </w:t>
      </w:r>
      <w:proofErr w:type="spellStart"/>
      <w:r>
        <w:t>toplantının</w:t>
      </w:r>
      <w:proofErr w:type="spellEnd"/>
      <w:r>
        <w:rPr>
          <w:spacing w:val="-13"/>
        </w:rPr>
        <w:t xml:space="preserve"> </w:t>
      </w:r>
      <w:proofErr w:type="spellStart"/>
      <w:r>
        <w:t>yeri</w:t>
      </w:r>
      <w:proofErr w:type="spellEnd"/>
      <w:r>
        <w:rPr>
          <w:spacing w:val="-15"/>
        </w:rPr>
        <w:t xml:space="preserve"> </w:t>
      </w:r>
      <w:proofErr w:type="spellStart"/>
      <w:r>
        <w:t>ve</w:t>
      </w:r>
      <w:proofErr w:type="spellEnd"/>
      <w:r>
        <w:rPr>
          <w:spacing w:val="-16"/>
        </w:rPr>
        <w:t xml:space="preserve"> </w:t>
      </w:r>
      <w:proofErr w:type="spellStart"/>
      <w:r>
        <w:t>zamanı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ilanın</w:t>
      </w:r>
      <w:proofErr w:type="spellEnd"/>
      <w:r>
        <w:rPr>
          <w:spacing w:val="-15"/>
        </w:rPr>
        <w:t xml:space="preserve"> </w:t>
      </w:r>
      <w:r>
        <w:t>son</w:t>
      </w:r>
      <w:r>
        <w:rPr>
          <w:spacing w:val="-16"/>
        </w:rPr>
        <w:t xml:space="preserve"> </w:t>
      </w:r>
      <w:proofErr w:type="spellStart"/>
      <w:r>
        <w:t>günü</w:t>
      </w:r>
      <w:proofErr w:type="spellEnd"/>
      <w:r>
        <w:rPr>
          <w:spacing w:val="-15"/>
        </w:rPr>
        <w:t xml:space="preserve"> </w:t>
      </w:r>
      <w:proofErr w:type="spellStart"/>
      <w:r>
        <w:t>tüm</w:t>
      </w:r>
      <w:proofErr w:type="spellEnd"/>
      <w:r>
        <w:rPr>
          <w:spacing w:val="-16"/>
        </w:rPr>
        <w:t xml:space="preserve"> </w:t>
      </w:r>
      <w:proofErr w:type="spellStart"/>
      <w:r>
        <w:t>paydaşlara</w:t>
      </w:r>
      <w:proofErr w:type="spellEnd"/>
      <w:r>
        <w:rPr>
          <w:spacing w:val="-19"/>
        </w:rPr>
        <w:t xml:space="preserve"> </w:t>
      </w:r>
      <w:proofErr w:type="spellStart"/>
      <w:r>
        <w:t>tebliğ</w:t>
      </w:r>
      <w:proofErr w:type="spellEnd"/>
      <w:r>
        <w:rPr>
          <w:spacing w:val="-15"/>
        </w:rP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sayılır</w:t>
      </w:r>
      <w:proofErr w:type="spellEnd"/>
      <w:r>
        <w:t>.</w:t>
      </w:r>
    </w:p>
    <w:p w14:paraId="02611B5A" w14:textId="77777777" w:rsidR="005F2CCE" w:rsidRDefault="005F2CCE">
      <w:pPr>
        <w:pStyle w:val="GvdeMetni"/>
      </w:pPr>
    </w:p>
    <w:p w14:paraId="02611B5B" w14:textId="77777777" w:rsidR="005F2CCE" w:rsidRDefault="00E83972">
      <w:pPr>
        <w:pStyle w:val="GvdeMetni"/>
        <w:ind w:left="111" w:right="250"/>
        <w:jc w:val="both"/>
      </w:pPr>
      <w:proofErr w:type="spellStart"/>
      <w:r>
        <w:t>Toplantı</w:t>
      </w:r>
      <w:proofErr w:type="spellEnd"/>
      <w:r>
        <w:t xml:space="preserve">, </w:t>
      </w:r>
      <w:proofErr w:type="spellStart"/>
      <w:r>
        <w:t>hisseleri</w:t>
      </w:r>
      <w:proofErr w:type="spellEnd"/>
      <w:r>
        <w:t xml:space="preserve"> </w:t>
      </w:r>
      <w:proofErr w:type="spellStart"/>
      <w:r>
        <w:t>oranında</w:t>
      </w:r>
      <w:proofErr w:type="spellEnd"/>
      <w:r>
        <w:t xml:space="preserve"> </w:t>
      </w:r>
      <w:proofErr w:type="spellStart"/>
      <w:r>
        <w:t>paydaşların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salt </w:t>
      </w:r>
      <w:proofErr w:type="spellStart"/>
      <w:r>
        <w:t>çoğunluğu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salt </w:t>
      </w:r>
      <w:proofErr w:type="spellStart"/>
      <w:r>
        <w:t>çoğunluk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taraflarca</w:t>
      </w:r>
      <w:proofErr w:type="spellEnd"/>
      <w:r>
        <w:t xml:space="preserve"> </w:t>
      </w:r>
      <w:proofErr w:type="spellStart"/>
      <w:r>
        <w:t>imzalanarak</w:t>
      </w:r>
      <w:proofErr w:type="spellEnd"/>
      <w:r>
        <w:t xml:space="preserve"> </w:t>
      </w:r>
      <w:proofErr w:type="spellStart"/>
      <w:r>
        <w:t>tutanağa</w:t>
      </w:r>
      <w:proofErr w:type="spellEnd"/>
      <w:r>
        <w:t xml:space="preserve"> </w:t>
      </w:r>
      <w:proofErr w:type="spellStart"/>
      <w:r>
        <w:t>bağlanır</w:t>
      </w:r>
      <w:proofErr w:type="spellEnd"/>
      <w:r>
        <w:t>.</w:t>
      </w:r>
    </w:p>
    <w:p w14:paraId="02611B5C" w14:textId="77777777" w:rsidR="005F2CCE" w:rsidRDefault="005F2CCE">
      <w:pPr>
        <w:pStyle w:val="GvdeMetni"/>
        <w:spacing w:before="7"/>
        <w:rPr>
          <w:sz w:val="27"/>
        </w:rPr>
      </w:pPr>
    </w:p>
    <w:p w14:paraId="02611B5D" w14:textId="77777777" w:rsidR="005F2CCE" w:rsidRDefault="00E83972">
      <w:pPr>
        <w:spacing w:line="276" w:lineRule="auto"/>
        <w:ind w:left="111" w:right="109"/>
        <w:jc w:val="both"/>
        <w:rPr>
          <w:i/>
          <w:sz w:val="24"/>
        </w:rPr>
      </w:pPr>
      <w:r>
        <w:rPr>
          <w:sz w:val="24"/>
        </w:rPr>
        <w:t>*</w:t>
      </w:r>
      <w:proofErr w:type="spellStart"/>
      <w:r>
        <w:rPr>
          <w:i/>
          <w:sz w:val="24"/>
        </w:rPr>
        <w:t>İşbu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formun</w:t>
      </w:r>
      <w:proofErr w:type="spellEnd"/>
      <w:r>
        <w:rPr>
          <w:i/>
          <w:sz w:val="24"/>
        </w:rPr>
        <w:t xml:space="preserve"> ARAAD Bilgi </w:t>
      </w:r>
      <w:proofErr w:type="spellStart"/>
      <w:r>
        <w:rPr>
          <w:i/>
          <w:sz w:val="24"/>
        </w:rPr>
        <w:t>Sistemi’nden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indirilecek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olan</w:t>
      </w:r>
      <w:proofErr w:type="spellEnd"/>
      <w:r>
        <w:rPr>
          <w:i/>
          <w:sz w:val="24"/>
        </w:rPr>
        <w:t xml:space="preserve"> “6306 </w:t>
      </w:r>
      <w:proofErr w:type="spellStart"/>
      <w:r>
        <w:rPr>
          <w:i/>
          <w:sz w:val="24"/>
        </w:rPr>
        <w:t>sayılı</w:t>
      </w:r>
      <w:proofErr w:type="spellEnd"/>
      <w:r>
        <w:rPr>
          <w:i/>
          <w:sz w:val="24"/>
        </w:rPr>
        <w:t xml:space="preserve"> Kanun </w:t>
      </w:r>
      <w:proofErr w:type="spellStart"/>
      <w:r>
        <w:rPr>
          <w:i/>
          <w:sz w:val="24"/>
        </w:rPr>
        <w:t>Kapsamındaki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Riskli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Yapıların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Yerine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Yapılacak</w:t>
      </w:r>
      <w:proofErr w:type="spellEnd"/>
      <w:r>
        <w:rPr>
          <w:i/>
          <w:sz w:val="24"/>
        </w:rPr>
        <w:t xml:space="preserve"> Yeni </w:t>
      </w:r>
      <w:proofErr w:type="spellStart"/>
      <w:r>
        <w:rPr>
          <w:i/>
          <w:sz w:val="24"/>
        </w:rPr>
        <w:t>Uygulamalara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Yönelik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Toplantı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Süreci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Sonrasındaki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İşlemlere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İlişkin</w:t>
      </w:r>
      <w:proofErr w:type="spellEnd"/>
      <w:r>
        <w:rPr>
          <w:i/>
          <w:sz w:val="24"/>
        </w:rPr>
        <w:t xml:space="preserve"> Bilgilendirme </w:t>
      </w:r>
      <w:proofErr w:type="spellStart"/>
      <w:r>
        <w:rPr>
          <w:i/>
          <w:sz w:val="24"/>
        </w:rPr>
        <w:t>Notu</w:t>
      </w:r>
      <w:proofErr w:type="spellEnd"/>
      <w:r>
        <w:rPr>
          <w:i/>
          <w:sz w:val="24"/>
        </w:rPr>
        <w:t xml:space="preserve">” </w:t>
      </w:r>
      <w:proofErr w:type="spellStart"/>
      <w:r>
        <w:rPr>
          <w:i/>
          <w:sz w:val="24"/>
        </w:rPr>
        <w:t>ile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birlikte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maliklere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tebliğ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edilmesi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gerekmektedir</w:t>
      </w:r>
      <w:proofErr w:type="spellEnd"/>
      <w:r>
        <w:rPr>
          <w:i/>
          <w:sz w:val="24"/>
        </w:rPr>
        <w:t>.</w:t>
      </w:r>
    </w:p>
    <w:p w14:paraId="02611B5E" w14:textId="77777777" w:rsidR="005F2CCE" w:rsidRDefault="005F2CCE">
      <w:pPr>
        <w:pStyle w:val="GvdeMetni"/>
        <w:rPr>
          <w:i/>
          <w:sz w:val="26"/>
        </w:rPr>
      </w:pPr>
    </w:p>
    <w:p w14:paraId="02611B5F" w14:textId="77777777" w:rsidR="005F2CCE" w:rsidRDefault="005F2CCE">
      <w:pPr>
        <w:pStyle w:val="GvdeMetni"/>
        <w:rPr>
          <w:i/>
          <w:sz w:val="26"/>
        </w:rPr>
      </w:pPr>
    </w:p>
    <w:p w14:paraId="02611B60" w14:textId="77777777" w:rsidR="005F2CCE" w:rsidRDefault="005F2CCE">
      <w:pPr>
        <w:pStyle w:val="GvdeMetni"/>
        <w:rPr>
          <w:i/>
          <w:sz w:val="26"/>
        </w:rPr>
      </w:pPr>
    </w:p>
    <w:p w14:paraId="02611B61" w14:textId="77777777" w:rsidR="005F2CCE" w:rsidRDefault="005F2CCE">
      <w:pPr>
        <w:pStyle w:val="GvdeMetni"/>
        <w:rPr>
          <w:i/>
          <w:sz w:val="26"/>
        </w:rPr>
      </w:pPr>
    </w:p>
    <w:p w14:paraId="02611B62" w14:textId="77777777" w:rsidR="005F2CCE" w:rsidRDefault="005F2CCE">
      <w:pPr>
        <w:pStyle w:val="GvdeMetni"/>
        <w:rPr>
          <w:i/>
          <w:sz w:val="26"/>
        </w:rPr>
      </w:pPr>
    </w:p>
    <w:p w14:paraId="02611B63" w14:textId="77777777" w:rsidR="005F2CCE" w:rsidRDefault="005F2CCE">
      <w:pPr>
        <w:pStyle w:val="GvdeMetni"/>
        <w:rPr>
          <w:i/>
          <w:sz w:val="32"/>
        </w:rPr>
      </w:pPr>
    </w:p>
    <w:p w14:paraId="02611B64" w14:textId="77777777" w:rsidR="005F2CCE" w:rsidRDefault="00E83972">
      <w:pPr>
        <w:pStyle w:val="GvdeMetni"/>
        <w:ind w:left="6000" w:right="176"/>
        <w:jc w:val="center"/>
      </w:pPr>
      <w:proofErr w:type="spellStart"/>
      <w:r>
        <w:t>Bildirimi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malik</w:t>
      </w:r>
    </w:p>
    <w:p w14:paraId="02611B65" w14:textId="77777777" w:rsidR="005F2CCE" w:rsidRDefault="005F2CCE">
      <w:pPr>
        <w:pStyle w:val="GvdeMetni"/>
        <w:spacing w:before="1"/>
        <w:rPr>
          <w:sz w:val="31"/>
        </w:rPr>
      </w:pPr>
    </w:p>
    <w:p w14:paraId="02611B66" w14:textId="79BDD6C6" w:rsidR="005F2CCE" w:rsidRDefault="000520CB">
      <w:pPr>
        <w:pStyle w:val="GvdeMetni"/>
        <w:ind w:left="6624"/>
      </w:pPr>
      <w:r>
        <w:t xml:space="preserve">     </w:t>
      </w:r>
    </w:p>
    <w:p w14:paraId="02611B67" w14:textId="77777777" w:rsidR="005F2CCE" w:rsidRDefault="005F2CCE">
      <w:pPr>
        <w:pStyle w:val="GvdeMetni"/>
        <w:rPr>
          <w:sz w:val="26"/>
        </w:rPr>
      </w:pPr>
    </w:p>
    <w:p w14:paraId="02611B69" w14:textId="77777777" w:rsidR="005F2CCE" w:rsidRDefault="00E83972">
      <w:pPr>
        <w:pStyle w:val="GvdeMetni"/>
        <w:ind w:left="6013" w:right="176"/>
        <w:jc w:val="center"/>
      </w:pPr>
      <w:proofErr w:type="spellStart"/>
      <w:r>
        <w:t>İmza</w:t>
      </w:r>
      <w:proofErr w:type="spellEnd"/>
    </w:p>
    <w:sectPr w:rsidR="005F2CCE">
      <w:type w:val="continuous"/>
      <w:pgSz w:w="11910" w:h="16840"/>
      <w:pgMar w:top="760" w:right="8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CE"/>
    <w:rsid w:val="000520CB"/>
    <w:rsid w:val="00257B89"/>
    <w:rsid w:val="004B6D67"/>
    <w:rsid w:val="005F2CCE"/>
    <w:rsid w:val="00672F58"/>
    <w:rsid w:val="00676ED0"/>
    <w:rsid w:val="007D520A"/>
    <w:rsid w:val="007E2659"/>
    <w:rsid w:val="00863FCE"/>
    <w:rsid w:val="008E5D42"/>
    <w:rsid w:val="0090327F"/>
    <w:rsid w:val="009B7AE2"/>
    <w:rsid w:val="009E3EED"/>
    <w:rsid w:val="00C84AC1"/>
    <w:rsid w:val="00E8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1B4A"/>
  <w15:docId w15:val="{601B1DE5-5EC2-4613-B655-5072B41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"/>
      <w:ind w:right="17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1512</Characters>
  <Application>Microsoft Office Word</Application>
  <DocSecurity>0</DocSecurity>
  <Lines>40</Lines>
  <Paragraphs>14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Ek-12 - ToplantÄ± Bildirim Formu</dc:title>
  <dc:creator>Derya KARADAK</dc:creator>
  <cp:lastModifiedBy>ahmet ulutas</cp:lastModifiedBy>
  <cp:revision>3</cp:revision>
  <dcterms:created xsi:type="dcterms:W3CDTF">2026-05-02T15:21:00Z</dcterms:created>
  <dcterms:modified xsi:type="dcterms:W3CDTF">2026-05-02T15:22:00Z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2026-03-06T00:00:00Z</vt:filetime>
  </property>
</Properties>
</file>